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3"/>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op w:val="nil"/>
              <w:left w:val="nil"/>
              <w:bottom w:val="nil"/>
              <w:right w:val="nil"/>
            </w:tcBorders>
            <w:shd w:fill="auto" w:val="clear"/>
          </w:tcPr>
          <w:p>
            <w:pPr>
              <w:pStyle w:val="Normal"/>
              <w:widowControl w:val="false"/>
              <w:tabs>
                <w:tab w:val="clear" w:pos="708"/>
                <w:tab w:val="left" w:pos="3280" w:leader="none"/>
              </w:tabs>
              <w:spacing w:lineRule="atLeast" w:line="280" w:before="0" w:after="0"/>
              <w:jc w:val="both"/>
              <w:rPr>
                <w:rFonts w:ascii="Times New Roman" w:hAnsi="Times New Roman"/>
                <w:szCs w:val="20"/>
              </w:rPr>
            </w:pPr>
            <w:r>
              <w:rPr>
                <w:rFonts w:eastAsia="Times New Roman" w:ascii="Times New Roman" w:hAnsi="Times New Roman"/>
                <w:color w:val="000000"/>
                <w:sz w:val="26"/>
                <w:szCs w:val="26"/>
                <w:lang w:eastAsia="ru-RU"/>
              </w:rPr>
              <w:t>СОГЛАСОВАНО</w:t>
            </w:r>
          </w:p>
          <w:p>
            <w:pPr>
              <w:pStyle w:val="Normal"/>
              <w:widowControl w:val="false"/>
              <w:tabs>
                <w:tab w:val="clear" w:pos="708"/>
                <w:tab w:val="left" w:pos="3280" w:leader="none"/>
              </w:tabs>
              <w:spacing w:lineRule="atLeast" w:line="280" w:before="0" w:after="0"/>
              <w:jc w:val="both"/>
              <w:rPr>
                <w:rFonts w:ascii="Times New Roman" w:hAnsi="Times New Roman"/>
                <w:szCs w:val="20"/>
              </w:rPr>
            </w:pPr>
            <w:r>
              <w:rPr>
                <w:rFonts w:eastAsia="Times New Roman" w:ascii="Times New Roman" w:hAnsi="Times New Roman"/>
                <w:color w:val="000000"/>
                <w:sz w:val="26"/>
                <w:szCs w:val="26"/>
                <w:lang w:eastAsia="ru-RU"/>
              </w:rPr>
              <w:t>с профсоюзным комитетом</w:t>
            </w:r>
          </w:p>
          <w:p>
            <w:pPr>
              <w:pStyle w:val="Normal"/>
              <w:widowControl w:val="false"/>
              <w:tabs>
                <w:tab w:val="clear" w:pos="708"/>
                <w:tab w:val="left" w:pos="3280" w:leader="none"/>
              </w:tabs>
              <w:spacing w:lineRule="atLeast" w:line="280" w:before="0" w:after="0"/>
              <w:jc w:val="both"/>
              <w:rPr>
                <w:rFonts w:ascii="Times New Roman" w:hAnsi="Times New Roman"/>
                <w:szCs w:val="20"/>
              </w:rPr>
            </w:pPr>
            <w:r>
              <w:rPr>
                <w:rFonts w:eastAsia="Times New Roman" w:ascii="Times New Roman" w:hAnsi="Times New Roman"/>
                <w:color w:val="000000"/>
                <w:sz w:val="26"/>
                <w:szCs w:val="26"/>
                <w:lang w:eastAsia="ru-RU"/>
              </w:rPr>
              <w:t>МАДОУ Центр развития ребенка –</w:t>
            </w:r>
          </w:p>
          <w:p>
            <w:pPr>
              <w:pStyle w:val="Normal"/>
              <w:widowControl w:val="false"/>
              <w:tabs>
                <w:tab w:val="clear" w:pos="708"/>
                <w:tab w:val="left" w:pos="3280" w:leader="none"/>
              </w:tabs>
              <w:spacing w:lineRule="atLeast" w:line="280" w:before="0" w:after="0"/>
              <w:jc w:val="both"/>
              <w:rPr>
                <w:rFonts w:ascii="Times New Roman" w:hAnsi="Times New Roman"/>
                <w:szCs w:val="20"/>
              </w:rPr>
            </w:pPr>
            <w:bookmarkStart w:id="0" w:name="_GoBack111"/>
            <w:bookmarkEnd w:id="0"/>
            <w:r>
              <w:rPr>
                <w:rFonts w:eastAsia="Times New Roman" w:ascii="Times New Roman" w:hAnsi="Times New Roman"/>
                <w:color w:val="000000"/>
                <w:sz w:val="26"/>
                <w:szCs w:val="26"/>
                <w:lang w:eastAsia="ru-RU"/>
              </w:rPr>
              <w:t>детский сад №10 «Ляйсан» г.Дюртюли</w:t>
            </w:r>
          </w:p>
          <w:p>
            <w:pPr>
              <w:pStyle w:val="Normal"/>
              <w:widowControl w:val="false"/>
              <w:tabs>
                <w:tab w:val="clear" w:pos="708"/>
                <w:tab w:val="left" w:pos="3280" w:leader="none"/>
              </w:tabs>
              <w:spacing w:lineRule="atLeast" w:line="280" w:before="0" w:after="0"/>
              <w:jc w:val="both"/>
              <w:rPr>
                <w:rFonts w:ascii="Times New Roman" w:hAnsi="Times New Roman"/>
                <w:szCs w:val="20"/>
              </w:rPr>
            </w:pPr>
            <w:r>
              <w:rPr>
                <w:rFonts w:eastAsia="Times New Roman" w:ascii="Times New Roman" w:hAnsi="Times New Roman"/>
                <w:color w:val="000000"/>
                <w:sz w:val="26"/>
                <w:szCs w:val="26"/>
                <w:lang w:eastAsia="ru-RU"/>
              </w:rPr>
              <w:t>протокол от «</w:t>
            </w:r>
            <w:r>
              <w:rPr>
                <w:rFonts w:eastAsia="Times New Roman" w:ascii="Times New Roman" w:hAnsi="Times New Roman"/>
                <w:color w:val="000000"/>
                <w:sz w:val="26"/>
                <w:szCs w:val="26"/>
                <w:lang w:eastAsia="ru-RU"/>
              </w:rPr>
              <w:t>24</w:t>
            </w:r>
            <w:r>
              <w:rPr>
                <w:rFonts w:eastAsia="Times New Roman" w:ascii="Times New Roman" w:hAnsi="Times New Roman"/>
                <w:color w:val="000000"/>
                <w:sz w:val="26"/>
                <w:szCs w:val="26"/>
                <w:lang w:eastAsia="ru-RU"/>
              </w:rPr>
              <w:t xml:space="preserve">»  </w:t>
            </w:r>
            <w:r>
              <w:rPr>
                <w:rFonts w:eastAsia="Times New Roman" w:ascii="Times New Roman" w:hAnsi="Times New Roman"/>
                <w:color w:val="000000"/>
                <w:sz w:val="26"/>
                <w:szCs w:val="26"/>
                <w:lang w:eastAsia="ru-RU"/>
              </w:rPr>
              <w:t xml:space="preserve">февраля </w:t>
            </w:r>
            <w:r>
              <w:rPr>
                <w:rFonts w:eastAsia="Times New Roman" w:ascii="Times New Roman" w:hAnsi="Times New Roman"/>
                <w:color w:val="000000"/>
                <w:sz w:val="26"/>
                <w:szCs w:val="26"/>
                <w:lang w:eastAsia="ru-RU"/>
              </w:rPr>
              <w:t>20</w:t>
            </w:r>
            <w:r>
              <w:rPr>
                <w:rFonts w:eastAsia="Times New Roman" w:ascii="Times New Roman" w:hAnsi="Times New Roman"/>
                <w:color w:val="000000"/>
                <w:sz w:val="26"/>
                <w:szCs w:val="26"/>
                <w:lang w:eastAsia="ru-RU"/>
              </w:rPr>
              <w:t>22</w:t>
            </w:r>
            <w:r>
              <w:rPr>
                <w:rFonts w:eastAsia="Times New Roman" w:ascii="Times New Roman" w:hAnsi="Times New Roman"/>
                <w:color w:val="000000"/>
                <w:sz w:val="26"/>
                <w:szCs w:val="26"/>
                <w:lang w:eastAsia="ru-RU"/>
              </w:rPr>
              <w:t>г.</w:t>
            </w:r>
          </w:p>
          <w:p>
            <w:pPr>
              <w:pStyle w:val="Normal"/>
              <w:widowControl w:val="false"/>
              <w:tabs>
                <w:tab w:val="clear" w:pos="708"/>
                <w:tab w:val="left" w:pos="3280" w:leader="none"/>
              </w:tabs>
              <w:spacing w:lineRule="atLeast" w:line="280" w:before="0" w:after="0"/>
              <w:jc w:val="both"/>
              <w:rPr>
                <w:rFonts w:ascii="Times New Roman" w:hAnsi="Times New Roman"/>
                <w:szCs w:val="20"/>
              </w:rPr>
            </w:pPr>
            <w:r>
              <w:rPr>
                <w:rFonts w:eastAsia="Times New Roman" w:ascii="Times New Roman" w:hAnsi="Times New Roman"/>
                <w:color w:val="000000"/>
                <w:sz w:val="26"/>
                <w:szCs w:val="26"/>
                <w:lang w:eastAsia="ru-RU"/>
              </w:rPr>
              <w:t>№</w:t>
            </w:r>
            <w:r>
              <w:rPr>
                <w:rFonts w:eastAsia="Times New Roman" w:ascii="Times New Roman" w:hAnsi="Times New Roman"/>
                <w:color w:val="000000"/>
                <w:sz w:val="26"/>
                <w:szCs w:val="26"/>
                <w:lang w:eastAsia="ru-RU"/>
              </w:rPr>
              <w:t>__</w:t>
            </w:r>
            <w:r>
              <w:rPr>
                <w:rFonts w:eastAsia="Times New Roman" w:ascii="Times New Roman" w:hAnsi="Times New Roman"/>
                <w:color w:val="000000"/>
                <w:sz w:val="26"/>
                <w:szCs w:val="26"/>
                <w:u w:val="single"/>
                <w:lang w:eastAsia="ru-RU"/>
              </w:rPr>
              <w:t>2</w:t>
            </w:r>
            <w:r>
              <w:rPr>
                <w:rFonts w:eastAsia="Times New Roman" w:ascii="Times New Roman" w:hAnsi="Times New Roman"/>
                <w:color w:val="000000"/>
                <w:sz w:val="26"/>
                <w:szCs w:val="26"/>
                <w:lang w:eastAsia="ru-RU"/>
              </w:rPr>
              <w:t>___</w:t>
            </w:r>
          </w:p>
        </w:tc>
        <w:tc>
          <w:tcPr>
            <w:tcW w:w="4785" w:type="dxa"/>
            <w:tcBorders>
              <w:top w:val="nil"/>
              <w:left w:val="nil"/>
              <w:bottom w:val="nil"/>
              <w:right w:val="nil"/>
            </w:tcBorders>
            <w:shd w:fill="auto" w:val="clear"/>
          </w:tcPr>
          <w:p>
            <w:pPr>
              <w:pStyle w:val="Normal"/>
              <w:spacing w:lineRule="auto" w:line="240" w:before="0" w:after="0"/>
              <w:rPr>
                <w:rFonts w:ascii="Times New Roman" w:hAnsi="Times New Roman"/>
                <w:szCs w:val="20"/>
              </w:rPr>
            </w:pPr>
            <w:r>
              <w:rPr>
                <w:rFonts w:eastAsia="Times New Roman" w:ascii="Times New Roman" w:hAnsi="Times New Roman"/>
                <w:sz w:val="26"/>
                <w:szCs w:val="26"/>
                <w:lang w:eastAsia="ru-RU"/>
              </w:rPr>
              <w:t>УТВЕРЖДЕНО</w:t>
            </w:r>
          </w:p>
          <w:p>
            <w:pPr>
              <w:pStyle w:val="Normal"/>
              <w:spacing w:lineRule="auto" w:line="240" w:before="0" w:after="0"/>
              <w:rPr>
                <w:rFonts w:ascii="Times New Roman" w:hAnsi="Times New Roman"/>
                <w:szCs w:val="20"/>
              </w:rPr>
            </w:pPr>
            <w:r>
              <w:rPr>
                <w:rFonts w:eastAsia="Times New Roman" w:ascii="Times New Roman" w:hAnsi="Times New Roman"/>
                <w:sz w:val="26"/>
                <w:szCs w:val="26"/>
                <w:lang w:eastAsia="ru-RU"/>
              </w:rPr>
              <w:t>Приказом  заведующего</w:t>
            </w:r>
          </w:p>
          <w:p>
            <w:pPr>
              <w:pStyle w:val="Normal"/>
              <w:spacing w:lineRule="auto" w:line="240" w:before="0" w:after="0"/>
              <w:rPr>
                <w:rFonts w:ascii="Times New Roman" w:hAnsi="Times New Roman"/>
                <w:szCs w:val="20"/>
              </w:rPr>
            </w:pPr>
            <w:r>
              <w:rPr>
                <w:rFonts w:eastAsia="Times New Roman" w:ascii="Times New Roman" w:hAnsi="Times New Roman"/>
                <w:spacing w:val="-4"/>
                <w:sz w:val="26"/>
                <w:szCs w:val="26"/>
                <w:lang w:eastAsia="ru-RU"/>
              </w:rPr>
              <w:t>МАДОУ Центр развития ребенка -</w:t>
            </w:r>
            <w:r>
              <w:rPr>
                <w:rFonts w:eastAsia="Times New Roman" w:ascii="Times New Roman" w:hAnsi="Times New Roman"/>
                <w:sz w:val="26"/>
                <w:szCs w:val="26"/>
                <w:lang w:eastAsia="ru-RU"/>
              </w:rPr>
              <w:t xml:space="preserve">  детский сад № 10«Ляйсан» г.Дюртюли</w:t>
            </w:r>
          </w:p>
          <w:p>
            <w:pPr>
              <w:pStyle w:val="Normal"/>
              <w:spacing w:lineRule="auto" w:line="240" w:before="0" w:after="0"/>
              <w:rPr>
                <w:rFonts w:ascii="Times New Roman" w:hAnsi="Times New Roman"/>
                <w:szCs w:val="20"/>
              </w:rPr>
            </w:pPr>
            <w:r>
              <w:rPr>
                <w:rFonts w:eastAsia="Times New Roman" w:ascii="Times New Roman" w:hAnsi="Times New Roman"/>
                <w:sz w:val="26"/>
                <w:szCs w:val="26"/>
                <w:lang w:eastAsia="ru-RU"/>
              </w:rPr>
              <w:t>от «</w:t>
            </w:r>
            <w:r>
              <w:rPr>
                <w:rFonts w:eastAsia="Times New Roman" w:ascii="Times New Roman" w:hAnsi="Times New Roman"/>
                <w:sz w:val="26"/>
                <w:szCs w:val="26"/>
                <w:lang w:eastAsia="ru-RU"/>
              </w:rPr>
              <w:t>24</w:t>
            </w:r>
            <w:r>
              <w:rPr>
                <w:rFonts w:eastAsia="Times New Roman" w:ascii="Times New Roman" w:hAnsi="Times New Roman"/>
                <w:sz w:val="26"/>
                <w:szCs w:val="26"/>
                <w:lang w:eastAsia="ru-RU"/>
              </w:rPr>
              <w:t xml:space="preserve">»  </w:t>
            </w:r>
            <w:r>
              <w:rPr>
                <w:rFonts w:eastAsia="Times New Roman" w:ascii="Times New Roman" w:hAnsi="Times New Roman"/>
                <w:sz w:val="26"/>
                <w:szCs w:val="26"/>
                <w:lang w:eastAsia="ru-RU"/>
              </w:rPr>
              <w:t xml:space="preserve">февраля </w:t>
            </w:r>
            <w:r>
              <w:rPr>
                <w:rFonts w:eastAsia="Times New Roman" w:ascii="Times New Roman" w:hAnsi="Times New Roman"/>
                <w:sz w:val="26"/>
                <w:szCs w:val="26"/>
                <w:lang w:eastAsia="ru-RU"/>
              </w:rPr>
              <w:t>20</w:t>
            </w:r>
            <w:r>
              <w:rPr>
                <w:rFonts w:eastAsia="Times New Roman" w:ascii="Times New Roman" w:hAnsi="Times New Roman"/>
                <w:sz w:val="26"/>
                <w:szCs w:val="26"/>
                <w:lang w:eastAsia="ru-RU"/>
              </w:rPr>
              <w:t>22</w:t>
            </w:r>
            <w:r>
              <w:rPr>
                <w:rFonts w:eastAsia="Times New Roman" w:ascii="Times New Roman" w:hAnsi="Times New Roman"/>
                <w:sz w:val="26"/>
                <w:szCs w:val="26"/>
                <w:lang w:eastAsia="ru-RU"/>
              </w:rPr>
              <w:t>г.</w:t>
            </w:r>
          </w:p>
          <w:p>
            <w:pPr>
              <w:pStyle w:val="Normal"/>
              <w:spacing w:lineRule="auto" w:line="240" w:before="0" w:after="0"/>
              <w:rPr>
                <w:rFonts w:ascii="Times New Roman" w:hAnsi="Times New Roman"/>
                <w:szCs w:val="20"/>
              </w:rPr>
            </w:pPr>
            <w:r>
              <w:rPr>
                <w:rFonts w:eastAsia="Times New Roman" w:ascii="Times New Roman" w:hAnsi="Times New Roman"/>
                <w:sz w:val="26"/>
                <w:szCs w:val="26"/>
                <w:lang w:eastAsia="ru-RU"/>
              </w:rPr>
              <w:t>№</w:t>
            </w:r>
            <w:r>
              <w:rPr>
                <w:rFonts w:eastAsia="Times New Roman" w:ascii="Times New Roman" w:hAnsi="Times New Roman"/>
                <w:sz w:val="26"/>
                <w:szCs w:val="26"/>
                <w:lang w:eastAsia="ru-RU"/>
              </w:rPr>
              <w:t>___</w:t>
            </w:r>
            <w:r>
              <w:rPr>
                <w:rFonts w:eastAsia="Times New Roman" w:ascii="Times New Roman" w:hAnsi="Times New Roman"/>
                <w:sz w:val="26"/>
                <w:szCs w:val="26"/>
                <w:u w:val="single"/>
                <w:lang w:eastAsia="ru-RU"/>
              </w:rPr>
              <w:t>50</w:t>
            </w:r>
            <w:r>
              <w:rPr>
                <w:rFonts w:eastAsia="Times New Roman" w:ascii="Times New Roman" w:hAnsi="Times New Roman"/>
                <w:sz w:val="26"/>
                <w:szCs w:val="26"/>
                <w:lang w:eastAsia="ru-RU"/>
              </w:rPr>
              <w:t>___</w:t>
            </w:r>
          </w:p>
        </w:tc>
      </w:tr>
    </w:tbl>
    <w:p>
      <w:pPr>
        <w:pStyle w:val="Normal"/>
        <w:numPr>
          <w:ilvl w:val="0"/>
          <w:numId w:val="0"/>
        </w:numPr>
        <w:shd w:val="clear" w:color="auto" w:fill="FFFFFF"/>
        <w:spacing w:lineRule="atLeast" w:line="270" w:before="0" w:after="255"/>
        <w:ind w:firstLine="851" w:left="0"/>
        <w:jc w:val="both"/>
        <w:outlineLvl w:val="2"/>
        <w:rPr>
          <w:rFonts w:ascii="Times New Roman" w:hAnsi="Times New Roman" w:eastAsia="Times New Roman" w:cs="Times New Roman"/>
          <w:b/>
          <w:bCs/>
          <w:color w:val="333333"/>
          <w:sz w:val="26"/>
          <w:szCs w:val="26"/>
          <w:lang w:eastAsia="ru-RU"/>
        </w:rPr>
      </w:pPr>
      <w:r>
        <w:rPr>
          <w:rFonts w:eastAsia="Times New Roman" w:cs="Times New Roman" w:ascii="Times New Roman" w:hAnsi="Times New Roman"/>
          <w:b/>
          <w:bCs/>
          <w:color w:val="333333"/>
          <w:sz w:val="26"/>
          <w:szCs w:val="26"/>
          <w:lang w:eastAsia="ru-RU"/>
        </w:rPr>
      </w:r>
    </w:p>
    <w:p>
      <w:pPr>
        <w:pStyle w:val="Normal"/>
        <w:shd w:val="clear" w:color="auto" w:fill="FFFFFF"/>
        <w:spacing w:lineRule="auto" w:line="240" w:before="0" w:after="0"/>
        <w:ind w:hanging="0" w:right="-4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6"/>
          <w:szCs w:val="26"/>
          <w:lang w:eastAsia="ru-RU"/>
        </w:rPr>
        <w:t>Положение</w:t>
      </w:r>
    </w:p>
    <w:p>
      <w:pPr>
        <w:pStyle w:val="Normal"/>
        <w:shd w:val="clear" w:color="auto" w:fill="FFFFFF"/>
        <w:spacing w:lineRule="auto" w:line="240" w:before="0" w:after="0"/>
        <w:ind w:hanging="0" w:right="-4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6"/>
          <w:szCs w:val="26"/>
          <w:lang w:eastAsia="ru-RU"/>
        </w:rPr>
        <w:t xml:space="preserve"> </w:t>
      </w:r>
      <w:r>
        <w:rPr>
          <w:rFonts w:eastAsia="Times New Roman" w:cs="Times New Roman" w:ascii="Times New Roman" w:hAnsi="Times New Roman"/>
          <w:b/>
          <w:sz w:val="26"/>
          <w:szCs w:val="26"/>
          <w:lang w:eastAsia="ru-RU"/>
        </w:rPr>
        <w:t>о порядке обучения и проверке знаний по охране труда работников</w:t>
      </w:r>
    </w:p>
    <w:p>
      <w:pPr>
        <w:pStyle w:val="Normal"/>
        <w:shd w:val="clear" w:color="auto" w:fill="FFFFFF"/>
        <w:spacing w:lineRule="auto" w:line="240" w:before="0" w:after="0"/>
        <w:ind w:hanging="0" w:right="-40"/>
        <w:jc w:val="center"/>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w:t>
      </w:r>
    </w:p>
    <w:p>
      <w:pPr>
        <w:pStyle w:val="Normal"/>
        <w:numPr>
          <w:ilvl w:val="0"/>
          <w:numId w:val="0"/>
        </w:numPr>
        <w:shd w:val="clear" w:color="auto" w:fill="FFFFFF"/>
        <w:spacing w:lineRule="atLeast" w:line="270" w:before="0" w:after="255"/>
        <w:ind w:firstLine="851" w:left="0"/>
        <w:jc w:val="both"/>
        <w:outlineLvl w:val="2"/>
        <w:rPr>
          <w:rFonts w:ascii="Times New Roman" w:hAnsi="Times New Roman" w:eastAsia="Times New Roman" w:cs="Times New Roman"/>
          <w:b/>
          <w:bCs/>
          <w:color w:val="333333"/>
          <w:sz w:val="26"/>
          <w:szCs w:val="26"/>
          <w:lang w:eastAsia="ru-RU"/>
        </w:rPr>
      </w:pPr>
      <w:r>
        <w:rPr>
          <w:rFonts w:eastAsia="Times New Roman" w:cs="Times New Roman" w:ascii="Times New Roman" w:hAnsi="Times New Roman"/>
          <w:b/>
          <w:bCs/>
          <w:color w:val="333333"/>
          <w:sz w:val="26"/>
          <w:szCs w:val="26"/>
          <w:lang w:eastAsia="ru-RU"/>
        </w:rPr>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I. Общие положения</w:t>
      </w:r>
    </w:p>
    <w:p>
      <w:pPr>
        <w:pStyle w:val="Normal"/>
        <w:shd w:val="clear" w:color="auto" w:fill="FFFFFF"/>
        <w:spacing w:lineRule="auto" w:line="240" w:before="0" w:after="0"/>
        <w:ind w:firstLine="851"/>
        <w:jc w:val="both"/>
        <w:rPr>
          <w:sz w:val="26"/>
          <w:szCs w:val="26"/>
        </w:rPr>
      </w:pPr>
      <w:r>
        <w:rPr>
          <w:rFonts w:eastAsia="Times New Roman" w:cs="Times New Roman" w:ascii="Times New Roman" w:hAnsi="Times New Roman"/>
          <w:color w:val="333333"/>
          <w:sz w:val="26"/>
          <w:szCs w:val="26"/>
          <w:lang w:eastAsia="ru-RU"/>
        </w:rPr>
        <w:t>1.1. Настоящее Положение  о порядке обучения и проверке знаний по охране труда работников 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 (далее – Положение, ДОУ) устанавливает обязательные требования к обучению по охране труда и проверке знания требований охраны труда у работников  организации.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1.3. Обучение по охране труда осуществляется в ходе проведения: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инструктажей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стажировки на рабочем месте;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обучения по оказанию первой помощи пострадавшим;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 обучения по использованию (применению) средств индивидуальной защиты;</w:t>
      </w:r>
    </w:p>
    <w:p>
      <w:pPr>
        <w:pStyle w:val="Normal"/>
        <w:shd w:val="clear" w:color="auto" w:fill="FFFFFF"/>
        <w:spacing w:lineRule="auto" w:line="240" w:before="0" w:after="0"/>
        <w:ind w:firstLine="851"/>
        <w:jc w:val="both"/>
        <w:rPr>
          <w:sz w:val="26"/>
          <w:szCs w:val="26"/>
        </w:rPr>
      </w:pPr>
      <w:r>
        <w:rPr>
          <w:rFonts w:eastAsia="Times New Roman" w:cs="Times New Roman" w:ascii="Times New Roman" w:hAnsi="Times New Roman"/>
          <w:color w:val="333333"/>
          <w:sz w:val="26"/>
          <w:szCs w:val="26"/>
          <w:lang w:eastAsia="ru-RU"/>
        </w:rPr>
        <w:t>д) обучения по охране труда в организации, в том числе обучения безопасным методам и приемам выполнения работ, у индивидуального предпринимателя или в организации, оказывающих услуги по проведению обучения по охране труда (далее - обучение требованиям охраны труда).</w:t>
      </w:r>
    </w:p>
    <w:p>
      <w:pPr>
        <w:pStyle w:val="Normal"/>
        <w:shd w:val="clear" w:color="auto" w:fill="FFFFFF"/>
        <w:spacing w:lineRule="auto" w:line="240" w:before="0" w:after="0"/>
        <w:ind w:firstLine="851"/>
        <w:jc w:val="both"/>
        <w:rPr>
          <w:sz w:val="26"/>
          <w:szCs w:val="26"/>
        </w:rPr>
      </w:pPr>
      <w:r>
        <w:rPr>
          <w:rFonts w:eastAsia="Times New Roman" w:cs="Times New Roman" w:ascii="Times New Roman" w:hAnsi="Times New Roman"/>
          <w:color w:val="333333"/>
          <w:sz w:val="26"/>
          <w:szCs w:val="26"/>
          <w:lang w:eastAsia="ru-RU"/>
        </w:rPr>
        <w:t>Одновременно с обучением по охране труда и проверкой знаний требований охраны труда, осуществляемыми в соответствии с настоящим Положением, могут проводиться обучение и аттестация работников организации по другим направлениям безопасности труда, организуемые органами государственного надзора и контроля и федеральными органами исполнительной власти. Обучение и аттестация работников организации по другим направлениям безопасности труда (электробезопасность и тд.), организуемые органами государственного надзора и контроля, федеральными органами исполнительной власти, проводятся в порядке, утверждаемом этими органами.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1.4. Обучению по охране труда и проверке знаний требований охраны труда в соответствии с настоящим Положением подлежат все работники организации, в том числе руководители.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1.5.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1.6. Ответственность за организацию и своевременность обучения по охране труда и проверку знаний требований охраны труда работников организации несет заведующий в порядке, установленном законодательством Российской Федерации.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II. Организация и проведение инструктажей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2.1. Предусматриваются следующие виды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вводный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инструктаж по охране труда на рабочем месте;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целевой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2.2. Формы и методы проведения инструктажа по охране труда определяются работодателем.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2.3. Вводный инструктаж по охране труда проводится до начала выполнения трудовых функций для вновь принятых работников и иных лиц, участвующих в деятельности организации.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2.4. 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согласно приложению № 1 и утверждается заведующим с учетом мнения профсоюзного органа.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 xml:space="preserve">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2.5. Проводятся следующие виды инструктажа по охране труда на рабочем месте: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первичный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повторный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внеплановый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333333"/>
          <w:sz w:val="26"/>
          <w:szCs w:val="26"/>
          <w:lang w:eastAsia="ru-RU"/>
        </w:rPr>
        <w:t xml:space="preserve">2.6. Первичный инструктаж по охране труда проводится для всех работников организации до начала самостоятельной работы. </w:t>
      </w:r>
      <w:r>
        <w:rPr>
          <w:rFonts w:eastAsia="Times New Roman" w:cs="Times New Roman" w:ascii="Times New Roman" w:hAnsi="Times New Roman"/>
          <w:sz w:val="26"/>
          <w:szCs w:val="26"/>
          <w:lang w:eastAsia="ru-RU"/>
        </w:rPr>
        <w:t>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заведующим.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2.7. Повторный инструктаж по охране труда проводится не реже одного раза в 6 месяцев.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2.8. Повторный инструктаж по охране труда не проводится для работников, освобожденных от прохождения первичного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2.9. Внеплановый инструктаж по охране труда проводится для работников организации в случаях, обусловленных:</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изменениями в эксплуатации оборудования, технологических процессах, использовании сырья и материалов, влияющими на безопасность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д) требованиями должностных лиц федеральной инспекции труда при установлении нарушений требований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е) произошедшими авариями и несчастными случаями на производстве;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ж) перерывом в работе продолжительностью более 60 календарных дней;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з) решением заведующего.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2.10. Объем мероприятий и сроки внепланового инструктажа определяются в каждом конкретном случае в зависимости от причин и обстоятельств, вызвавших необходимость его проведения.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2.11.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организации, и включает в том числе вопросы оказания первой помощи пострадавшим.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2.12. Целевой инструктаж по охране труда проводится для работников перед выполнением работ, не относящихся к основному технологическому процессу и не предусмотренных должностными инструкциями.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2.13. Разовые поручения оформляются приказом заведующего. Исполнители обеспечиваются при этом спецодеждой и иными средствами защиты и необходимыми для выполнения работы инструментами, инвентарем.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2.14. 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 Запрещается давать разовые поручения по выполнению опасных и вредных работ, требующих специальной подготовки, навыков по выполнению данного вида работы, специальных приспособлений и т.д.</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2.15. Инструктаж по охране труда заканчивается проверкой знания требований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2.16. Результаты проведения инструктажа по охране труда оформляются в соответствии с требованиями, установленными настоящим Положением.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val="en-US" w:eastAsia="ru-RU"/>
        </w:rPr>
        <w:t>III</w:t>
      </w:r>
      <w:r>
        <w:rPr>
          <w:rFonts w:eastAsia="Times New Roman" w:cs="Times New Roman" w:ascii="Times New Roman" w:hAnsi="Times New Roman"/>
          <w:b/>
          <w:bCs/>
          <w:color w:val="333333"/>
          <w:sz w:val="26"/>
          <w:szCs w:val="26"/>
          <w:lang w:eastAsia="ru-RU"/>
        </w:rPr>
        <w:t>. Организация и проведение обучения требованиям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 xml:space="preserve">3.1. Обучение требованиям охраны труда проводится в организации или у индивидуального предпринимателя или в организации, оказывающих услуги по проведению обучения по охране труда. </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3.2. Заведующий и члены комиссии по проверке знания требований охраны труда, работники, проводящие инструктаж по охране труда и обучение требованиям охраны труда, специалист по охране труда, члены комиссии по охране труда, уполномоченные (доверенные) лица по охране труда профессиональных союзов или иные уполномоченные работники представительных органов организации проходят обучение требованиям охраны труда у индивидуального предпринимателя или в организации, оказывающих услуги по обучению работодателей и работников вопросам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3.4. Обучение требованиям охраны труда в зависимости от категории работников проводится: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3.5.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 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3.6. Программы обучения требованиям охраны труда утверждаются заведующим с учетом мнения профсоюзного органа.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3.7. Программы обучения требованиям охраны труда должны учитывать специфику вида деятельности организации, трудовые функции работников и содержать темы, соответствующие условиям труда работников.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3.8. Актуализация программ обучения требованиям охраны труда осуществляется в следующих случаях:</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вступление в силу нормативных правовых актов, содержащих государственные нормативные требования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требование должностных лиц федеральной инспекции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3.9. Обучению требованиям охраны труда подлежат следующие категории работников: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 xml:space="preserve">а) Заведующий (руководитель организации), заместители руководителя организации, на которых приказом заведующего возложены обязанности по охране труда; </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 xml:space="preserve">б) работники организации, отнесенные к категории специалисты, - по программе обучения требованиям охраны труда, указанной в подпункте "б" пункта 3.4 настоящего Положения;  </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 специалисты по охране труда - по программам обучения требованиям охраны труда, указанным в подпунктах "а" и "б" пункта 3.4 настоящего Положения;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 xml:space="preserve"> </w:t>
      </w:r>
      <w:r>
        <w:rPr>
          <w:rFonts w:eastAsia="Times New Roman" w:cs="Times New Roman" w:ascii="Times New Roman" w:hAnsi="Times New Roman"/>
          <w:color w:val="333333"/>
          <w:sz w:val="26"/>
          <w:szCs w:val="26"/>
          <w:lang w:eastAsia="ru-RU"/>
        </w:rPr>
        <w:t xml:space="preserve">д) работники рабочих профессий - по программе обучения требованиям охраны труда, указанной в подпункте "б" пункта 3.4 настоящего Положения;  </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 xml:space="preserve"> </w:t>
      </w:r>
      <w:r>
        <w:rPr>
          <w:rFonts w:eastAsia="Times New Roman" w:cs="Times New Roman" w:ascii="Times New Roman" w:hAnsi="Times New Roman"/>
          <w:color w:val="333333"/>
          <w:sz w:val="26"/>
          <w:szCs w:val="26"/>
          <w:lang w:eastAsia="ru-RU"/>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3.4 настоящего Положения,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ж) члены комиссии по охране труда, уполномоченные (доверенные) лица по охране труда профессиональных союзов или иные уполномоченные работники представительных органов организации - по программам обучения требованиям охраны труда, указанным в подпунктах "а" и "б" пункта 3.4 настоящего Положения.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3.10. Если трудовая деятельность отдельных категорий работников,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3.4 настоящего Положения, по решению заведующего может не проводиться.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3.11. В случае если работник, являющийся членом комиссии по охране труда, уполномоченным (доверенным) лицом по охране труда профессиональных союзов или иным уполномоченным работником представительных органов организации,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3.4 настоящего Положения, повторное обучение не требуется.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3.12. Плановое обучение требованиям охраны труда по программам обучения требованиям охраны труда, указанным в подпунктах "а" и "б" пункта 3.4 настоящего Положения, проходят работники с периодичностью не реже одного раза в 3 года.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3.13. Внеплановое обучение работников требованиям охраны труда должно быть организовано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Внеплановое обучение работников по основанию, предусмотренному подпунктом "а" пункта 3.8 настоящего Положения, проводится по требованию Министерства труда и социальной защиты Российской Федерации. Внеплановое обучение работников в случаях, предусмотренных пунктом 3.8 настоящего положения, проводится в объеме требований охраны труда, послуживших основанием для актуализации программ обучения после их актуализации.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3.14. Вновь принимаемые на работу работники, а также работники, переводимые на другую работу, проходят обучение требованиям охраны труда не позднее 60 календарных дней после заключения трудового договора или перевода на другую работу, за исключением случаев, предусмотренных 1.5 настоящего Положения.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3.15.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3.16. Обучение работников требованиям охраны труда и проверка знания требований охраны труда осуществляются с отрывом от работы.</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3.17.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pPr>
        <w:pStyle w:val="Normal"/>
        <w:shd w:val="clear" w:color="auto" w:fill="FFFFFF"/>
        <w:spacing w:lineRule="auto" w:line="240" w:before="0" w:after="0"/>
        <w:ind w:firstLine="851"/>
        <w:jc w:val="both"/>
        <w:rPr>
          <w:rFonts w:ascii="Times New Roman" w:hAnsi="Times New Roman" w:eastAsia="Times New Roman" w:cs="Times New Roman"/>
          <w:color w:val="FF0000"/>
          <w:sz w:val="28"/>
          <w:szCs w:val="28"/>
          <w:lang w:eastAsia="ru-RU"/>
        </w:rPr>
      </w:pPr>
      <w:r>
        <w:rPr>
          <w:rFonts w:eastAsia="Times New Roman" w:cs="Times New Roman" w:ascii="Times New Roman" w:hAnsi="Times New Roman"/>
          <w:color w:val="333333"/>
          <w:sz w:val="26"/>
          <w:szCs w:val="26"/>
          <w:lang w:eastAsia="ru-RU"/>
        </w:rPr>
        <w:t>3.18. Обучение работников требованиям охраны труда заканчивается проверкой знания требований охраны труда, требования к организации которой установлены положениями раздела VI настоящего Положения</w:t>
      </w:r>
      <w:r>
        <w:rPr>
          <w:rFonts w:eastAsia="Times New Roman" w:cs="Times New Roman" w:ascii="Times New Roman" w:hAnsi="Times New Roman"/>
          <w:color w:val="FF0000"/>
          <w:sz w:val="26"/>
          <w:szCs w:val="26"/>
          <w:lang w:eastAsia="ru-RU"/>
        </w:rPr>
        <w:t xml:space="preserve">. </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6"/>
          <w:szCs w:val="26"/>
          <w:lang w:eastAsia="ru-RU"/>
        </w:rPr>
      </w:pPr>
      <w:r>
        <w:rPr>
          <w:rFonts w:eastAsia="Times New Roman" w:cs="Times New Roman" w:ascii="Times New Roman" w:hAnsi="Times New Roman"/>
          <w:b/>
          <w:bCs/>
          <w:color w:val="333333"/>
          <w:sz w:val="26"/>
          <w:szCs w:val="26"/>
          <w:lang w:eastAsia="ru-RU"/>
        </w:rPr>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val="en-US" w:eastAsia="ru-RU"/>
        </w:rPr>
        <w:t>IV</w:t>
      </w:r>
      <w:r>
        <w:rPr>
          <w:rFonts w:eastAsia="Times New Roman" w:cs="Times New Roman" w:ascii="Times New Roman" w:hAnsi="Times New Roman"/>
          <w:b/>
          <w:bCs/>
          <w:color w:val="333333"/>
          <w:sz w:val="26"/>
          <w:szCs w:val="26"/>
          <w:lang w:eastAsia="ru-RU"/>
        </w:rPr>
        <w:t xml:space="preserve"> Организация и проведение обучения по оказанию первой помощи пострадавшим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4.2. Обучение по оказанию первой помощи пострадавшим проводится в отношении следующих категорий работников: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работники, на которых приказом заведующего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работники рабочих профессий;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комиссии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ж) иные работники по решению заведующего.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4.3. Темы оказания первой помощи пострадавшим должны быть включены в программы обучения требованиям охраны труда с учетом тем согласно приложению 2 настоящего Положения.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 по охране труда, проходят обучение по оказанию первой помощи пострадавшим в у индивидуального предпринимателя или в организации, оказывающих услуги по обучению работодателей и работников вопросам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4.4. Вновь принимаемые на работу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 Обучение по оказанию первой помощи пострадавшим проводится не реже одного раза в 3 года.</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6"/>
          <w:szCs w:val="26"/>
          <w:lang w:eastAsia="ru-RU"/>
        </w:rPr>
      </w:pPr>
      <w:r>
        <w:rPr>
          <w:rFonts w:eastAsia="Times New Roman" w:cs="Times New Roman" w:ascii="Times New Roman" w:hAnsi="Times New Roman"/>
          <w:b/>
          <w:bCs/>
          <w:color w:val="333333"/>
          <w:sz w:val="26"/>
          <w:szCs w:val="26"/>
          <w:lang w:eastAsia="ru-RU"/>
        </w:rPr>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V. Организация и проведение обучения по использованию (применению) средств индивидуальной защиты</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5.1. 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5.2. Вопросы использования (применения) средств индивидуальной защиты включаются в программы обучения требованиям охраны труда. 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комиссии по охране труда проходят обучение по использованию (применению) средств индивидуальной защиты у индивидуального предпринимателя или в организации, оказывающих услуги по обучению работодателей и работников вопросам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5.3. Обучение по использованию (применению) средств индивидуальной защиты проводится не реже одного раза в 3 года.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VI. Организация проверки знания требований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6.1. Проверка знания требований охраны труда работников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6.2. Плановое и внеплановое обучение по охране труда завершается соответствующей проверкой знания требований охраны труда работников.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6.3. Для проведения проверки знания требований охраны труда работников приказом заведующего создается комиссия по проверке знания требований охраны труда работников в составе не менее 3 человек - председателя, заместителя (заместителей) председателя (при необходимости) и членов комиссии.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 xml:space="preserve">6.4. 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в подпунктах "а" и "б" пункта 3.4 настоящего Положения. </w:t>
      </w:r>
    </w:p>
    <w:p>
      <w:pPr>
        <w:pStyle w:val="Normal"/>
        <w:shd w:val="clear" w:color="auto" w:fill="FFFFFF"/>
        <w:spacing w:lineRule="auto" w:line="240" w:before="0" w:after="0"/>
        <w:ind w:firstLine="851"/>
        <w:jc w:val="both"/>
        <w:rPr>
          <w:sz w:val="26"/>
          <w:szCs w:val="26"/>
        </w:rPr>
      </w:pPr>
      <w:r>
        <w:rPr>
          <w:rFonts w:eastAsia="Times New Roman" w:cs="Times New Roman" w:ascii="Times New Roman" w:hAnsi="Times New Roman"/>
          <w:color w:val="333333"/>
          <w:sz w:val="26"/>
          <w:szCs w:val="26"/>
          <w:lang w:eastAsia="ru-RU"/>
        </w:rPr>
        <w:t>6.5. 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pPr>
        <w:pStyle w:val="Normal"/>
        <w:numPr>
          <w:ilvl w:val="0"/>
          <w:numId w:val="0"/>
        </w:numPr>
        <w:shd w:val="clear" w:color="auto" w:fill="FFFFFF"/>
        <w:spacing w:lineRule="auto" w:line="240" w:before="0" w:after="0"/>
        <w:ind w:hanging="0" w:left="0"/>
        <w:jc w:val="both"/>
        <w:outlineLvl w:val="2"/>
        <w:rPr>
          <w:rFonts w:ascii="Times New Roman" w:hAnsi="Times New Roman" w:eastAsia="Times New Roman" w:cs="Times New Roman"/>
          <w:b/>
          <w:bCs/>
          <w:color w:val="333333"/>
          <w:lang w:eastAsia="ru-RU"/>
        </w:rPr>
      </w:pPr>
      <w:r>
        <w:rPr>
          <w:rFonts w:eastAsia="Times New Roman" w:cs="Times New Roman" w:ascii="Times New Roman" w:hAnsi="Times New Roman"/>
          <w:b/>
          <w:bCs/>
          <w:color w:val="333333"/>
          <w:lang w:eastAsia="ru-RU"/>
        </w:rPr>
      </w:r>
    </w:p>
    <w:p>
      <w:pPr>
        <w:pStyle w:val="Normal"/>
        <w:numPr>
          <w:ilvl w:val="0"/>
          <w:numId w:val="0"/>
        </w:numPr>
        <w:shd w:val="clear" w:color="auto" w:fill="FFFFFF"/>
        <w:spacing w:lineRule="auto" w:line="240" w:before="0" w:after="0"/>
        <w:ind w:hanging="0" w:left="0"/>
        <w:jc w:val="both"/>
        <w:outlineLvl w:val="2"/>
        <w:rPr>
          <w:sz w:val="26"/>
          <w:szCs w:val="26"/>
        </w:rPr>
      </w:pPr>
      <w:r>
        <w:rPr>
          <w:rFonts w:eastAsia="Times New Roman" w:cs="Times New Roman" w:ascii="Times New Roman" w:hAnsi="Times New Roman"/>
          <w:b/>
          <w:bCs/>
          <w:color w:val="333333"/>
          <w:sz w:val="26"/>
          <w:szCs w:val="26"/>
          <w:lang w:eastAsia="ru-RU"/>
        </w:rPr>
        <w:tab/>
        <w:t>VII. Оформление документов и регистрации проведения обучения по охране труда</w:t>
      </w:r>
    </w:p>
    <w:p>
      <w:pPr>
        <w:pStyle w:val="Normal"/>
        <w:numPr>
          <w:ilvl w:val="0"/>
          <w:numId w:val="0"/>
        </w:numPr>
        <w:shd w:val="clear" w:color="auto" w:fill="FFFFFF"/>
        <w:spacing w:lineRule="auto" w:line="240" w:before="0" w:after="0"/>
        <w:ind w:firstLine="851" w:left="0"/>
        <w:jc w:val="both"/>
        <w:outlineLvl w:val="2"/>
        <w:rPr>
          <w:sz w:val="26"/>
          <w:szCs w:val="26"/>
        </w:rPr>
      </w:pPr>
      <w:r>
        <w:rPr>
          <w:rFonts w:eastAsia="Times New Roman" w:cs="Times New Roman" w:ascii="Times New Roman" w:hAnsi="Times New Roman"/>
          <w:color w:val="333333"/>
          <w:sz w:val="26"/>
          <w:szCs w:val="26"/>
          <w:lang w:eastAsia="ru-RU"/>
        </w:rPr>
        <w:t>7.1.</w:t>
      </w:r>
      <w:r>
        <w:rPr>
          <w:sz w:val="26"/>
          <w:szCs w:val="26"/>
        </w:rPr>
        <w:t xml:space="preserve"> </w:t>
      </w:r>
      <w:r>
        <w:rPr>
          <w:rFonts w:eastAsia="Times New Roman" w:cs="Times New Roman" w:ascii="Times New Roman" w:hAnsi="Times New Roman"/>
          <w:color w:val="333333"/>
          <w:sz w:val="26"/>
          <w:szCs w:val="26"/>
          <w:lang w:eastAsia="ru-RU"/>
        </w:rPr>
        <w:t>Заведующий устанавливает потребности организации в проведении обучения по охране труда с указанием профессии и должности работников, подлежащих обучению по охране труда,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7.2.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работодатель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установленные настоящим Положением сроки.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7.3. При регистрации проведения вводного инструктажа по охране труда указывается следующая информация: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дата проведения вводного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фамилия, имя, отчество (при наличии) работника, прошедшего вводный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профессия (должность) работника, прошедшего вводный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 число, месяц, год рождения работника, прошедшего вводный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д) фамилия, имя, отчество (при наличии), профессия (должность) работника, проводившего вводный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е) подпись работника, проводившего вводный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ж) подпись работника, прошедшего вводный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7.4.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дата проведения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фамилия, имя, отчество (при наличии) работника, прошедшего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профессия (должность) работника, прошедшего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 число, месяц, год рождения работника, прошедшего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д) вид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е) причина проведения инструктажа по охране труда (для внепланового или целевого инструктажа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ж) фамилия, имя, отчество (при наличии), профессия (должность) работника, проводившего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з) номер инструкции, в объеме требований которого проведен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и) подпись работника, проводившего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к) подпись работника, прошедшего инструктаж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7.5. Порядок регистрации проведенного инструктажа по охране труда и форма его документирования утверждаются заведующим.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7.6. Результаты проверки знаний требований охраны труда работников организации оформляются протоколом по установленной форме.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 xml:space="preserve">7.7.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7.8. По запросу работника ему выдается протокол проверки знания требований охраны труда.</w:t>
      </w:r>
    </w:p>
    <w:p>
      <w:pPr>
        <w:pStyle w:val="Normal"/>
        <w:shd w:val="clear" w:color="auto" w:fill="FFFFFF"/>
        <w:spacing w:lineRule="auto" w:line="240" w:before="0" w:after="0"/>
        <w:ind w:firstLine="851"/>
        <w:jc w:val="both"/>
        <w:rPr>
          <w:sz w:val="26"/>
          <w:szCs w:val="26"/>
        </w:rPr>
      </w:pPr>
      <w:r>
        <w:rPr>
          <w:rFonts w:eastAsia="Times New Roman" w:cs="Times New Roman" w:ascii="Times New Roman" w:hAnsi="Times New Roman"/>
          <w:color w:val="333333"/>
          <w:sz w:val="26"/>
          <w:szCs w:val="26"/>
          <w:lang w:eastAsia="ru-RU"/>
        </w:rPr>
        <w:t>7.9. При проведении обучения по охране труда и проверки знания требований охраны труда работников с применением дистанционных технологий обеспечивается идентификация личности работника, проходящего обучение, выбор способа которой осуществляется организацией, проводящей обучение требованиям охраны труда, самостоятельно, в том числе контроль соблюдения условий проведения мероприятий, в рамках которых осуществляется оценка результатов обучения работника.</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val="en-US" w:eastAsia="ru-RU"/>
        </w:rPr>
        <w:t>VII</w:t>
      </w:r>
      <w:r>
        <w:rPr>
          <w:rFonts w:eastAsia="Times New Roman" w:cs="Times New Roman" w:ascii="Times New Roman" w:hAnsi="Times New Roman"/>
          <w:b/>
          <w:bCs/>
          <w:color w:val="333333"/>
          <w:sz w:val="26"/>
          <w:szCs w:val="26"/>
          <w:lang w:eastAsia="ru-RU"/>
        </w:rPr>
        <w:t>I. Заключительные положения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8.1. Ответственность за актуальность и полноту информации, содержащейся в программах обучения по охране труда, несет руководитель организации или индивидуальный предприниматель, оказывающие услуги по обучению работодателей и работников вопросам охраны труда, или заведующий в случае проведения обучения в организации. Ответственность за определение работников, которым необходимо пройти обучение по охране труда, организацию процесса обучения по охране труда и процедуры проверки знания требований охраны труда работников возлагается на заведующего.</w:t>
      </w:r>
    </w:p>
    <w:p>
      <w:pPr>
        <w:pStyle w:val="Normal"/>
        <w:shd w:val="clear" w:color="auto" w:fill="FFFFFF"/>
        <w:spacing w:lineRule="auto" w:line="240" w:before="0" w:after="0"/>
        <w:ind w:firstLine="851"/>
        <w:jc w:val="both"/>
        <w:rPr>
          <w:sz w:val="26"/>
          <w:szCs w:val="26"/>
        </w:rPr>
      </w:pPr>
      <w:r>
        <w:rPr>
          <w:rFonts w:eastAsia="Times New Roman" w:cs="Times New Roman" w:ascii="Times New Roman" w:hAnsi="Times New Roman"/>
          <w:color w:val="333333"/>
          <w:sz w:val="26"/>
          <w:szCs w:val="26"/>
          <w:lang w:eastAsia="ru-RU"/>
        </w:rPr>
        <w:t>8.2. В соответствии со ст. 370 Трудового кодекса Российской Федерации профсоюзный контроль за соблюдением требований настоящего Положения осуществляется уполномоченным (доверенным) лицом по охране труда профессионального союза работ организации.</w:t>
      </w:r>
    </w:p>
    <w:p>
      <w:pPr>
        <w:pStyle w:val="Normal"/>
        <w:spacing w:lineRule="auto" w:line="240" w:before="0" w:after="0"/>
        <w:ind w:hanging="0" w:left="4395"/>
        <w:jc w:val="both"/>
        <w:rPr>
          <w:rFonts w:ascii="Times New Roman" w:hAnsi="Times New Roman" w:eastAsia="Times New Roman" w:cs="Times New Roman"/>
          <w:bCs/>
          <w:color w:val="2E2E2E"/>
          <w:sz w:val="28"/>
          <w:szCs w:val="28"/>
          <w:lang w:eastAsia="ru-RU"/>
        </w:rPr>
      </w:pPr>
      <w:r>
        <w:rPr>
          <w:rFonts w:eastAsia="Times New Roman" w:cs="Times New Roman" w:ascii="Times New Roman" w:hAnsi="Times New Roman"/>
          <w:bCs/>
          <w:color w:val="2E2E2E"/>
          <w:sz w:val="28"/>
          <w:szCs w:val="28"/>
          <w:lang w:eastAsia="ru-RU"/>
        </w:rPr>
      </w:r>
    </w:p>
    <w:p>
      <w:pPr>
        <w:pStyle w:val="Normal"/>
        <w:spacing w:lineRule="auto" w:line="240" w:before="0" w:after="0"/>
        <w:ind w:hanging="0" w:left="4395"/>
        <w:jc w:val="both"/>
        <w:rPr>
          <w:rFonts w:ascii="Times New Roman" w:hAnsi="Times New Roman" w:eastAsia="Times New Roman" w:cs="Times New Roman"/>
          <w:bCs/>
          <w:color w:val="2E2E2E"/>
          <w:sz w:val="28"/>
          <w:szCs w:val="28"/>
          <w:lang w:eastAsia="ru-RU"/>
        </w:rPr>
      </w:pPr>
      <w:r>
        <w:rPr>
          <w:rFonts w:eastAsia="Times New Roman" w:cs="Times New Roman" w:ascii="Times New Roman" w:hAnsi="Times New Roman"/>
          <w:bCs/>
          <w:color w:val="2E2E2E"/>
          <w:sz w:val="28"/>
          <w:szCs w:val="28"/>
          <w:lang w:eastAsia="ru-RU"/>
        </w:rPr>
      </w:r>
    </w:p>
    <w:p>
      <w:pPr>
        <w:pStyle w:val="Normal"/>
        <w:spacing w:lineRule="auto" w:line="240" w:before="0" w:after="0"/>
        <w:ind w:hanging="0" w:left="4395"/>
        <w:jc w:val="both"/>
        <w:rPr>
          <w:rFonts w:ascii="Times New Roman" w:hAnsi="Times New Roman" w:eastAsia="Times New Roman" w:cs="Times New Roman"/>
          <w:bCs/>
          <w:color w:val="2E2E2E"/>
          <w:sz w:val="28"/>
          <w:szCs w:val="28"/>
          <w:lang w:eastAsia="ru-RU"/>
        </w:rPr>
      </w:pPr>
      <w:r>
        <w:rPr>
          <w:rFonts w:eastAsia="Times New Roman" w:cs="Times New Roman" w:ascii="Times New Roman" w:hAnsi="Times New Roman"/>
          <w:bCs/>
          <w:color w:val="2E2E2E"/>
          <w:sz w:val="28"/>
          <w:szCs w:val="28"/>
          <w:lang w:eastAsia="ru-RU"/>
        </w:rPr>
      </w:r>
    </w:p>
    <w:p>
      <w:pPr>
        <w:pStyle w:val="Normal"/>
        <w:spacing w:lineRule="auto" w:line="240" w:before="0" w:after="0"/>
        <w:ind w:hanging="0" w:left="4395"/>
        <w:jc w:val="both"/>
        <w:rPr>
          <w:rFonts w:ascii="Times New Roman" w:hAnsi="Times New Roman" w:eastAsia="Times New Roman" w:cs="Times New Roman"/>
          <w:bCs/>
          <w:color w:val="2E2E2E"/>
          <w:sz w:val="28"/>
          <w:szCs w:val="28"/>
          <w:lang w:eastAsia="ru-RU"/>
        </w:rPr>
      </w:pPr>
      <w:r>
        <w:rPr>
          <w:rFonts w:eastAsia="Times New Roman" w:cs="Times New Roman" w:ascii="Times New Roman" w:hAnsi="Times New Roman"/>
          <w:bCs/>
          <w:color w:val="2E2E2E"/>
          <w:sz w:val="26"/>
          <w:szCs w:val="26"/>
          <w:lang w:eastAsia="ru-RU"/>
        </w:rPr>
        <w:t>ПРИНЯТО</w:t>
      </w:r>
    </w:p>
    <w:p>
      <w:pPr>
        <w:pStyle w:val="Normal"/>
        <w:spacing w:lineRule="auto" w:line="240" w:before="0" w:after="0"/>
        <w:ind w:hanging="0" w:left="4395"/>
        <w:jc w:val="both"/>
        <w:rPr>
          <w:rFonts w:ascii="Times New Roman" w:hAnsi="Times New Roman" w:eastAsia="Times New Roman" w:cs="Times New Roman"/>
          <w:bCs/>
          <w:color w:val="2E2E2E"/>
          <w:sz w:val="28"/>
          <w:szCs w:val="28"/>
          <w:lang w:eastAsia="ru-RU"/>
        </w:rPr>
      </w:pPr>
      <w:r>
        <w:rPr>
          <w:rFonts w:eastAsia="Times New Roman" w:cs="Times New Roman" w:ascii="Times New Roman" w:hAnsi="Times New Roman"/>
          <w:bCs/>
          <w:color w:val="2E2E2E"/>
          <w:sz w:val="26"/>
          <w:szCs w:val="26"/>
          <w:lang w:eastAsia="ru-RU"/>
        </w:rPr>
        <w:t>Общим собранием</w:t>
      </w:r>
    </w:p>
    <w:p>
      <w:pPr>
        <w:pStyle w:val="Normal"/>
        <w:spacing w:lineRule="auto" w:line="240" w:before="0" w:after="0"/>
        <w:ind w:hanging="0" w:left="4395"/>
        <w:jc w:val="both"/>
        <w:rPr>
          <w:sz w:val="26"/>
          <w:szCs w:val="26"/>
        </w:rPr>
      </w:pPr>
      <w:r>
        <w:rPr>
          <w:rFonts w:eastAsia="Times New Roman" w:cs="Times New Roman" w:ascii="Times New Roman" w:hAnsi="Times New Roman"/>
          <w:bCs/>
          <w:color w:val="2E2E2E"/>
          <w:sz w:val="26"/>
          <w:szCs w:val="26"/>
          <w:lang w:eastAsia="ru-RU"/>
        </w:rPr>
        <w:t xml:space="preserve">МАДОУ Центр развития  ребенка – </w:t>
      </w:r>
    </w:p>
    <w:p>
      <w:pPr>
        <w:pStyle w:val="Normal"/>
        <w:spacing w:lineRule="auto" w:line="240" w:before="0" w:after="0"/>
        <w:ind w:hanging="0" w:left="4395"/>
        <w:jc w:val="both"/>
        <w:rPr>
          <w:sz w:val="26"/>
          <w:szCs w:val="26"/>
        </w:rPr>
      </w:pPr>
      <w:r>
        <w:rPr>
          <w:rFonts w:eastAsia="Times New Roman" w:cs="Times New Roman" w:ascii="Times New Roman" w:hAnsi="Times New Roman"/>
          <w:bCs/>
          <w:color w:val="2E2E2E"/>
          <w:sz w:val="26"/>
          <w:szCs w:val="26"/>
          <w:lang w:eastAsia="ru-RU"/>
        </w:rPr>
        <w:t>детский сад № 10 «Ляйсан» г.Дюртюли</w:t>
      </w:r>
    </w:p>
    <w:p>
      <w:pPr>
        <w:pStyle w:val="Normal"/>
        <w:spacing w:lineRule="auto" w:line="240" w:before="0" w:after="0"/>
        <w:ind w:hanging="0" w:left="4395"/>
        <w:jc w:val="both"/>
        <w:rPr>
          <w:sz w:val="26"/>
          <w:szCs w:val="26"/>
        </w:rPr>
      </w:pPr>
      <w:r>
        <w:rPr>
          <w:rFonts w:eastAsia="Times New Roman" w:cs="Times New Roman" w:ascii="Times New Roman" w:hAnsi="Times New Roman"/>
          <w:bCs/>
          <w:color w:val="2E2E2E"/>
          <w:sz w:val="26"/>
          <w:szCs w:val="26"/>
          <w:lang w:eastAsia="ru-RU"/>
        </w:rPr>
        <w:t>протокол от «___»________20___г. №_______</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hanging="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widowControl w:val="false"/>
        <w:spacing w:lineRule="auto" w:line="240" w:before="0" w:after="150"/>
        <w:jc w:val="right"/>
        <w:rPr>
          <w:i w:val="false"/>
          <w:i w:val="false"/>
          <w:iCs w:val="false"/>
          <w:sz w:val="20"/>
          <w:szCs w:val="20"/>
        </w:rPr>
      </w:pPr>
      <w:r>
        <w:rPr>
          <w:rFonts w:eastAsia="" w:cs="Times New Roman" w:ascii="Times New Roman" w:hAnsi="Times New Roman" w:eastAsiaTheme="minorEastAsia"/>
          <w:i w:val="false"/>
          <w:iCs w:val="false"/>
          <w:sz w:val="20"/>
          <w:szCs w:val="20"/>
          <w:lang w:eastAsia="ru-RU"/>
        </w:rPr>
        <w:t>Приложение № 1</w:t>
      </w:r>
    </w:p>
    <w:p>
      <w:pPr>
        <w:pStyle w:val="Normal"/>
        <w:widowControl w:val="false"/>
        <w:spacing w:lineRule="auto" w:line="240" w:before="0" w:after="0"/>
        <w:jc w:val="right"/>
        <w:rPr>
          <w:i w:val="false"/>
          <w:i w:val="false"/>
          <w:iCs w:val="false"/>
          <w:sz w:val="20"/>
          <w:szCs w:val="20"/>
        </w:rPr>
      </w:pPr>
      <w:r>
        <w:rPr>
          <w:rFonts w:eastAsia="" w:cs="Times New Roman" w:ascii="Times New Roman" w:hAnsi="Times New Roman" w:eastAsiaTheme="minorEastAsia"/>
          <w:i w:val="false"/>
          <w:iCs w:val="false"/>
          <w:sz w:val="20"/>
          <w:szCs w:val="20"/>
          <w:lang w:eastAsia="ru-RU"/>
        </w:rPr>
        <w:t>к Положению о порядке обучения и проверке знаний по охране труда работников</w:t>
      </w:r>
    </w:p>
    <w:p>
      <w:pPr>
        <w:pStyle w:val="Normal"/>
        <w:shd w:val="clear" w:color="auto" w:fill="FFFFFF"/>
        <w:spacing w:lineRule="auto" w:line="240" w:before="0" w:after="0"/>
        <w:ind w:firstLine="851"/>
        <w:jc w:val="right"/>
        <w:rPr>
          <w:rFonts w:ascii="Times New Roman" w:hAnsi="Times New Roman" w:eastAsia="Times New Roman" w:cs="Times New Roman"/>
          <w:color w:val="333333"/>
          <w:sz w:val="28"/>
          <w:szCs w:val="28"/>
          <w:lang w:eastAsia="ru-RU"/>
        </w:rPr>
      </w:pPr>
      <w:r>
        <w:rPr>
          <w:rFonts w:eastAsia="" w:cs="Times New Roman" w:ascii="Times New Roman" w:hAnsi="Times New Roman" w:eastAsiaTheme="minorEastAsia"/>
          <w:i w:val="false"/>
          <w:iCs w:val="false"/>
          <w:sz w:val="20"/>
          <w:szCs w:val="20"/>
          <w:lang w:eastAsia="ru-RU"/>
        </w:rPr>
        <w:t>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w:t>
      </w:r>
    </w:p>
    <w:p>
      <w:pPr>
        <w:pStyle w:val="Normal"/>
        <w:shd w:val="clear" w:color="auto" w:fill="FFFFFF"/>
        <w:spacing w:lineRule="auto" w:line="240" w:before="0" w:after="0"/>
        <w:ind w:hanging="0"/>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numPr>
          <w:ilvl w:val="0"/>
          <w:numId w:val="0"/>
        </w:numPr>
        <w:shd w:val="clear" w:color="auto" w:fill="FFFFFF"/>
        <w:spacing w:lineRule="auto" w:line="240" w:before="0" w:after="0"/>
        <w:ind w:firstLine="851" w:left="0"/>
        <w:jc w:val="center"/>
        <w:outlineLvl w:val="2"/>
        <w:rPr>
          <w:sz w:val="26"/>
          <w:szCs w:val="26"/>
        </w:rPr>
      </w:pPr>
      <w:r>
        <w:rPr>
          <w:rFonts w:eastAsia="Times New Roman" w:cs="Times New Roman" w:ascii="Times New Roman" w:hAnsi="Times New Roman"/>
          <w:b/>
          <w:bCs/>
          <w:color w:val="333333"/>
          <w:sz w:val="26"/>
          <w:szCs w:val="26"/>
          <w:lang w:eastAsia="ru-RU"/>
        </w:rPr>
        <w:t>Примерные перечни</w:t>
        <w:br/>
        <w:t>тем для программы вводного инструктажа по охране труда</w:t>
      </w:r>
    </w:p>
    <w:p>
      <w:pPr>
        <w:pStyle w:val="Normal"/>
        <w:numPr>
          <w:ilvl w:val="0"/>
          <w:numId w:val="0"/>
        </w:numPr>
        <w:shd w:val="clear" w:color="auto" w:fill="FFFFFF"/>
        <w:spacing w:lineRule="auto" w:line="240" w:before="0" w:after="0"/>
        <w:ind w:firstLine="851" w:left="0"/>
        <w:jc w:val="center"/>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8"/>
          <w:szCs w:val="28"/>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1. Сведения об организации. Политика и цели работодателя в области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 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3. Расположение основных служб, вспомогательных помещений. Средства обеспечения производственной санитарии и личной гигиены.</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6. Оказание первой помощи пострадавшим.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6"/>
          <w:szCs w:val="26"/>
          <w:lang w:eastAsia="ru-RU"/>
        </w:rPr>
      </w:pPr>
      <w:r>
        <w:rPr>
          <w:rFonts w:eastAsia="Times New Roman" w:cs="Times New Roman" w:ascii="Times New Roman" w:hAnsi="Times New Roman"/>
          <w:b/>
          <w:bCs/>
          <w:color w:val="333333"/>
          <w:sz w:val="26"/>
          <w:szCs w:val="26"/>
          <w:lang w:eastAsia="ru-RU"/>
        </w:rPr>
      </w:r>
    </w:p>
    <w:p>
      <w:pPr>
        <w:pStyle w:val="Normal"/>
        <w:widowControl w:val="false"/>
        <w:spacing w:lineRule="auto" w:line="240" w:before="0" w:after="150"/>
        <w:jc w:val="right"/>
        <w:rPr>
          <w:i w:val="false"/>
          <w:i w:val="false"/>
          <w:iCs w:val="false"/>
          <w:sz w:val="20"/>
          <w:szCs w:val="20"/>
        </w:rPr>
      </w:pPr>
      <w:r>
        <w:rPr>
          <w:rFonts w:eastAsia="" w:cs="Times New Roman" w:ascii="Times New Roman" w:hAnsi="Times New Roman" w:eastAsiaTheme="minorEastAsia"/>
          <w:i w:val="false"/>
          <w:iCs w:val="false"/>
          <w:sz w:val="20"/>
          <w:szCs w:val="20"/>
          <w:lang w:eastAsia="ru-RU"/>
        </w:rPr>
        <w:t>Приложение № 2</w:t>
      </w:r>
    </w:p>
    <w:p>
      <w:pPr>
        <w:pStyle w:val="Normal"/>
        <w:widowControl w:val="false"/>
        <w:spacing w:lineRule="auto" w:line="240" w:before="0" w:after="0"/>
        <w:jc w:val="right"/>
        <w:rPr>
          <w:i w:val="false"/>
          <w:i w:val="false"/>
          <w:iCs w:val="false"/>
          <w:sz w:val="20"/>
          <w:szCs w:val="20"/>
        </w:rPr>
      </w:pPr>
      <w:r>
        <w:rPr>
          <w:rFonts w:eastAsia="" w:cs="Times New Roman" w:ascii="Times New Roman" w:hAnsi="Times New Roman" w:eastAsiaTheme="minorEastAsia"/>
          <w:i w:val="false"/>
          <w:iCs w:val="false"/>
          <w:sz w:val="20"/>
          <w:szCs w:val="20"/>
          <w:lang w:eastAsia="ru-RU"/>
        </w:rPr>
        <w:t>к Положению о порядке обучения и проверке знаний по охране труда работников</w:t>
      </w:r>
    </w:p>
    <w:p>
      <w:pPr>
        <w:pStyle w:val="Normal"/>
        <w:shd w:val="clear" w:color="auto" w:fill="FFFFFF"/>
        <w:spacing w:lineRule="auto" w:line="240" w:before="0" w:after="0"/>
        <w:ind w:firstLine="851"/>
        <w:jc w:val="right"/>
        <w:rPr>
          <w:rFonts w:ascii="Times New Roman" w:hAnsi="Times New Roman" w:eastAsia="Times New Roman" w:cs="Times New Roman"/>
          <w:color w:val="333333"/>
          <w:sz w:val="28"/>
          <w:szCs w:val="28"/>
          <w:lang w:eastAsia="ru-RU"/>
        </w:rPr>
      </w:pPr>
      <w:r>
        <w:rPr>
          <w:rFonts w:eastAsia="" w:cs="Times New Roman" w:ascii="Times New Roman" w:hAnsi="Times New Roman" w:eastAsiaTheme="minorEastAsia"/>
          <w:i w:val="false"/>
          <w:iCs w:val="false"/>
          <w:sz w:val="20"/>
          <w:szCs w:val="20"/>
          <w:lang w:eastAsia="ru-RU"/>
        </w:rPr>
        <w:t>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6"/>
          <w:szCs w:val="26"/>
          <w:lang w:eastAsia="ru-RU"/>
        </w:rPr>
      </w:pPr>
      <w:r>
        <w:rPr>
          <w:rFonts w:eastAsia="Times New Roman" w:cs="Times New Roman" w:ascii="Times New Roman" w:hAnsi="Times New Roman"/>
          <w:b/>
          <w:bCs/>
          <w:color w:val="333333"/>
          <w:sz w:val="26"/>
          <w:szCs w:val="26"/>
          <w:lang w:eastAsia="ru-RU"/>
        </w:rPr>
      </w:r>
    </w:p>
    <w:p>
      <w:pPr>
        <w:pStyle w:val="Normal"/>
        <w:numPr>
          <w:ilvl w:val="0"/>
          <w:numId w:val="0"/>
        </w:numPr>
        <w:shd w:val="clear" w:color="auto" w:fill="FFFFFF"/>
        <w:spacing w:lineRule="auto" w:line="240" w:before="0" w:after="0"/>
        <w:ind w:firstLine="851" w:left="0"/>
        <w:jc w:val="center"/>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Примерные перечни</w:t>
        <w:br/>
        <w:t>тем теоретических и практических занятий для формирования программ обучения по оказанию первой помощи пострадавшим</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Тема 1. Организационно-правовые аспекты оказания первой помощи</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Теоретическое занятие по теме 1</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Понятие "первая помощь". Перечень состояний, при которых оказывается первая помощь, перечень мероприятий по ее оказанию.</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Основные правила вызова скорой медицинской помощи и других специальных служб, сотрудники которых обязаны оказывать первую помощь.</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Тема 2. Оказание первой помощи при отсутствии сознания, остановке дыхания и кровообращения</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Теоретическое занятие по теме 2</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Особенности реанимации у детей.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Практическое занятие по теме 2</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Оценка обстановки на месте происшествия.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навыков определения сознания у пострадавшего.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восстановления проходимости верхних дыхательных путей. Оценка признаков жизни у пострадавшего.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вызова скорой медицинской помощи, других специальных служб.</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искусственного дыхания "рот ко рту", "рот к носу" с применением устройств для искусственного дыхания.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давления руками на грудину пострадавшего.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Выполнение алгоритма реанимации.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приема перевода пострадавшего в устойчивое боковое положение.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удаления инородного тела из верхних дыхательных путей пострадавшего.</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Тема 3. Оказание первой помощи при наружных кровотечениях и травмах</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Теоретическое занятие по теме 3</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Цель и порядок выполнения обзорного осмотра пострадавшего.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Оказание первой помощи при носовом кровотечении.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Понятие о травматическом шоке, причины и признаки. Мероприятия, предупреждающие развитие травматического шока.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Травмы живота и таза, основные проявления. Оказание первой помощи.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Травмы конечностей, оказание первой помощи. Понятие "иммобилизация". Способы иммобилизации при травме конечностей.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Травмы позвоночника. Оказание первой помощи.</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Практическое занятие по теме 3</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проведения обзорного осмотра пострадавшего.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Проведение подробного осмотра пострадавшего.</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наложения окклюзионной (герметизирующей) повязки при ранении грудной клетки.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наложения повязок при наличии инородного предмета в ране живота, груди, конечностей.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первой помощи при переломах. Иммобилизация (подручными средствами, аутоиммобилизация, с использованием медицинских изделий).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фиксации шейного отдела позвоночника.</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Тема 4. Оказание первой помощи при прочих состояниях</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Теоретическое занятие по теме 4</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Перегревание, факторы, способствующие его развитию. Основные проявления, оказание первой помощи.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Холодовая травма, ее виды. Основные проявления переохлаждения (гипотермии), отморожения, оказание первой помощи.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Способы контроля состояния пострадавшего, находящегося в сознании, без сознания.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Практическое занятие по теме 4</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наложения повязок при ожогах различных областей тела. Применение местного охлаждения.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наложения термоизолирующей повязки при отморожениях.</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hanging="0"/>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shd w:val="clear" w:color="auto" w:fill="FFFFFF"/>
        <w:spacing w:lineRule="auto" w:line="240" w:before="0" w:after="0"/>
        <w:ind w:hanging="0"/>
        <w:jc w:val="both"/>
        <w:rPr>
          <w:rFonts w:ascii="Times New Roman" w:hAnsi="Times New Roman" w:eastAsia="Times New Roman" w:cs="Times New Roman"/>
          <w:color w:val="333333"/>
          <w:sz w:val="26"/>
          <w:szCs w:val="26"/>
          <w:lang w:eastAsia="ru-RU"/>
        </w:rPr>
      </w:pPr>
      <w:r>
        <w:rPr>
          <w:rFonts w:eastAsia="Times New Roman" w:cs="Times New Roman" w:ascii="Times New Roman" w:hAnsi="Times New Roman"/>
          <w:color w:val="333333"/>
          <w:sz w:val="26"/>
          <w:szCs w:val="26"/>
          <w:lang w:eastAsia="ru-RU"/>
        </w:rPr>
      </w:r>
    </w:p>
    <w:p>
      <w:pPr>
        <w:pStyle w:val="Normal"/>
        <w:widowControl w:val="false"/>
        <w:spacing w:lineRule="auto" w:line="240" w:before="0" w:after="150"/>
        <w:jc w:val="right"/>
        <w:rPr>
          <w:i w:val="false"/>
          <w:i w:val="false"/>
          <w:iCs w:val="false"/>
          <w:sz w:val="20"/>
          <w:szCs w:val="20"/>
        </w:rPr>
      </w:pPr>
      <w:r>
        <w:rPr>
          <w:rFonts w:eastAsia="" w:cs="Times New Roman" w:ascii="Times New Roman" w:hAnsi="Times New Roman" w:eastAsiaTheme="minorEastAsia"/>
          <w:i w:val="false"/>
          <w:iCs w:val="false"/>
          <w:sz w:val="20"/>
          <w:szCs w:val="20"/>
          <w:lang w:eastAsia="ru-RU"/>
        </w:rPr>
        <w:t>Приложение №  3</w:t>
      </w:r>
    </w:p>
    <w:p>
      <w:pPr>
        <w:pStyle w:val="Normal"/>
        <w:widowControl w:val="false"/>
        <w:spacing w:lineRule="auto" w:line="240" w:before="0" w:after="0"/>
        <w:jc w:val="right"/>
        <w:rPr>
          <w:i w:val="false"/>
          <w:i w:val="false"/>
          <w:iCs w:val="false"/>
          <w:sz w:val="20"/>
          <w:szCs w:val="20"/>
        </w:rPr>
      </w:pPr>
      <w:r>
        <w:rPr>
          <w:rFonts w:eastAsia="" w:cs="Times New Roman" w:ascii="Times New Roman" w:hAnsi="Times New Roman" w:eastAsiaTheme="minorEastAsia"/>
          <w:i w:val="false"/>
          <w:iCs w:val="false"/>
          <w:sz w:val="20"/>
          <w:szCs w:val="20"/>
          <w:lang w:eastAsia="ru-RU"/>
        </w:rPr>
        <w:t>к Положению о порядке обучения и проверке знаний по охране труда работников</w:t>
      </w:r>
    </w:p>
    <w:p>
      <w:pPr>
        <w:pStyle w:val="Normal"/>
        <w:shd w:val="clear" w:color="auto" w:fill="FFFFFF"/>
        <w:spacing w:lineRule="auto" w:line="240" w:before="0" w:after="0"/>
        <w:ind w:firstLine="851"/>
        <w:jc w:val="right"/>
        <w:rPr>
          <w:rFonts w:ascii="Times New Roman" w:hAnsi="Times New Roman" w:eastAsia="Times New Roman" w:cs="Times New Roman"/>
          <w:color w:val="333333"/>
          <w:sz w:val="28"/>
          <w:szCs w:val="28"/>
          <w:lang w:eastAsia="ru-RU"/>
        </w:rPr>
      </w:pPr>
      <w:r>
        <w:rPr>
          <w:rFonts w:eastAsia="" w:cs="Times New Roman" w:ascii="Times New Roman" w:hAnsi="Times New Roman" w:eastAsiaTheme="minorEastAsia"/>
          <w:i w:val="false"/>
          <w:iCs w:val="false"/>
          <w:sz w:val="20"/>
          <w:szCs w:val="20"/>
          <w:lang w:eastAsia="ru-RU"/>
        </w:rPr>
        <w:t>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w:t>
      </w:r>
    </w:p>
    <w:p>
      <w:pPr>
        <w:pStyle w:val="Normal"/>
        <w:numPr>
          <w:ilvl w:val="0"/>
          <w:numId w:val="0"/>
        </w:numPr>
        <w:shd w:val="clear" w:color="auto" w:fill="FFFFFF"/>
        <w:spacing w:lineRule="auto" w:line="240" w:before="0" w:after="0"/>
        <w:ind w:firstLine="851" w:left="0"/>
        <w:jc w:val="both"/>
        <w:outlineLvl w:val="2"/>
        <w:rPr>
          <w:rFonts w:ascii="Times New Roman" w:hAnsi="Times New Roman" w:eastAsia="Times New Roman" w:cs="Times New Roman"/>
          <w:b/>
          <w:bCs/>
          <w:color w:val="333333"/>
          <w:sz w:val="26"/>
          <w:szCs w:val="26"/>
          <w:lang w:eastAsia="ru-RU"/>
        </w:rPr>
      </w:pPr>
      <w:r>
        <w:rPr>
          <w:rFonts w:eastAsia="Times New Roman" w:cs="Times New Roman" w:ascii="Times New Roman" w:hAnsi="Times New Roman"/>
          <w:b/>
          <w:bCs/>
          <w:color w:val="333333"/>
          <w:sz w:val="26"/>
          <w:szCs w:val="26"/>
          <w:lang w:eastAsia="ru-RU"/>
        </w:rPr>
      </w:r>
    </w:p>
    <w:p>
      <w:pPr>
        <w:pStyle w:val="Normal"/>
        <w:numPr>
          <w:ilvl w:val="0"/>
          <w:numId w:val="0"/>
        </w:numPr>
        <w:shd w:val="clear" w:color="auto" w:fill="FFFFFF"/>
        <w:spacing w:lineRule="auto" w:line="240" w:before="0" w:after="0"/>
        <w:ind w:firstLine="851" w:left="0"/>
        <w:jc w:val="center"/>
        <w:outlineLvl w:val="2"/>
        <w:rPr>
          <w:rFonts w:ascii="Times New Roman" w:hAnsi="Times New Roman" w:eastAsia="Times New Roman" w:cs="Times New Roman"/>
          <w:b/>
          <w:bCs/>
          <w:color w:val="333333"/>
          <w:sz w:val="28"/>
          <w:szCs w:val="28"/>
          <w:lang w:eastAsia="ru-RU"/>
        </w:rPr>
      </w:pPr>
      <w:r>
        <w:rPr>
          <w:rFonts w:eastAsia="Times New Roman" w:cs="Times New Roman" w:ascii="Times New Roman" w:hAnsi="Times New Roman"/>
          <w:b/>
          <w:bCs/>
          <w:color w:val="333333"/>
          <w:sz w:val="26"/>
          <w:szCs w:val="26"/>
          <w:lang w:eastAsia="ru-RU"/>
        </w:rPr>
        <w:t>Примерные перечни</w:t>
        <w:br/>
        <w:t>тем для формирования программ обучения требованиям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основы охраны труда в Российской Федерации: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основные понятия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нормативно-правовые основы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обеспечение прав работников на охрану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государственный контроль и надзор за соблюдением трудового законодательства;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социальное партнерство в сфере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стратегия безопасности труда и охраны здоровья (раздел рекомендуется для изучения работодателями - руководителями организации):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безопасных условий и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лидерство в области охраны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мотивация работников на безопасный труд;</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система управления охраной труда в организации;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специальная оценка условий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оценка и управление профессиональными рисками;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подготовка работников по охране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обеспечение работников средствами индивидуальной защиты, смывающими и обезвреживающими средствами;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обеспечение гарантий и компенсаций работникам;</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обеспечение наблюдения за состоянием здоровья работников;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обеспечение санитарно-бытового обслуживания;</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обеспечение оптимальных режимов труда и отдыха работников;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обеспечение безопасного выполнения подрядных работ. Обеспечение снабжения безопасной продукцией;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 расследование и предупреждение несчастных случаев и профессиональных заболеваний: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порядок расследования несчастных случаев;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обязательное социальное страхование работников от несчастных случаев на производстве и профессиональных заболеваний;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организация и проведение внутреннего аудита безопасности труда;</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д) организация оказания первой помощи (при необходимости).</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а) классификация опасностей. Идентификация вредных и (или) опасных производственных факторов на рабочем месте;</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б) оценка уровня профессионального риска выявленных (идентифицированных) опасностей;</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в) безопасные методы и приемы выполнения работ;</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г) меры защиты от воздействия вредных и (или) опасных производственных факторов;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д) средства индивидуальной защиты от воздействия вредных и (или) опасных производственных факторов;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е) разработка мероприятий по снижению уровней профессиональных рисков;</w:t>
      </w:r>
    </w:p>
    <w:p>
      <w:pPr>
        <w:pStyle w:val="Normal"/>
        <w:shd w:val="clear" w:color="auto" w:fill="FFFFFF"/>
        <w:spacing w:lineRule="auto" w:line="240" w:before="0" w:after="0"/>
        <w:ind w:firstLine="851"/>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6"/>
          <w:szCs w:val="26"/>
          <w:lang w:eastAsia="ru-RU"/>
        </w:rPr>
        <w:t>ж) организация оказания первой помощи (при необходимости).</w:t>
      </w:r>
    </w:p>
    <w:p>
      <w:pPr>
        <w:pStyle w:val="Normal"/>
        <w:spacing w:lineRule="auto" w:line="240" w:before="0" w:after="0"/>
        <w:ind w:firstLine="851"/>
        <w:jc w:val="both"/>
        <w:rPr>
          <w:sz w:val="26"/>
          <w:szCs w:val="26"/>
        </w:rPr>
      </w:pPr>
      <w:r>
        <w:rPr>
          <w:sz w:val="26"/>
          <w:szCs w:val="26"/>
        </w:rPr>
      </w:r>
    </w:p>
    <w:sectPr>
      <w:type w:val="nextPage"/>
      <w:pgSz w:w="11906" w:h="16838"/>
      <w:pgMar w:left="1101" w:right="595" w:gutter="0" w:header="0" w:top="738" w:footer="0" w:bottom="619"/>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4"/>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7325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Times New Roman" w:hAnsi="Times New Roman"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Mangal"/>
    </w:rPr>
  </w:style>
  <w:style w:type="paragraph" w:styleId="Caption">
    <w:name w:val="Caption"/>
    <w:basedOn w:val="Normal"/>
    <w:qFormat/>
    <w:pPr>
      <w:suppressLineNumbers/>
      <w:spacing w:before="120" w:after="120"/>
    </w:pPr>
    <w:rPr>
      <w:rFonts w:ascii="Times New Roman" w:hAnsi="Times New Roman" w:cs="Mangal"/>
      <w:i/>
      <w:iCs/>
      <w:sz w:val="24"/>
      <w:szCs w:val="24"/>
    </w:rPr>
  </w:style>
  <w:style w:type="paragraph" w:styleId="Style15">
    <w:name w:val="Указатель"/>
    <w:basedOn w:val="Normal"/>
    <w:qFormat/>
    <w:pPr>
      <w:suppressLineNumbers/>
    </w:pPr>
    <w:rPr>
      <w:rFonts w:ascii="Times New Roman" w:hAnsi="Times New Roman" w:cs="Mangal"/>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58330e"/>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219</TotalTime>
  <Application>LibreOffice/24.2.5.2$Linux_X86_64 LibreOffice_project/420$Build-2</Application>
  <AppVersion>15.0000</AppVersion>
  <DocSecurity>0</DocSecurity>
  <Pages>15</Pages>
  <Words>4813</Words>
  <Characters>34984</Characters>
  <CharactersWithSpaces>39567</CharactersWithSpaces>
  <Paragraphs>261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2022-03-17T06:02:00Z</dcterms:created>
  <dc:creator>садик-10 1</dc:creator>
  <dc:description/>
  <dc:language>ru-RU</dc:language>
  <cp:lastModifiedBy/>
  <cp:lastPrinted>2022-03-31T14:26:43Z</cp:lastPrinted>
  <dcterms:modified xsi:type="dcterms:W3CDTF">2025-07-29T08:21:54Z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